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F2B" w:rsidRDefault="00177F2B" w:rsidP="00177F2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Biografia</w:t>
      </w:r>
    </w:p>
    <w:p w:rsidR="00177F2B" w:rsidRDefault="00177F2B" w:rsidP="00177F2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177F2B" w:rsidRDefault="00177F2B" w:rsidP="00177F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Lorenzo Vicino nasce il 23 agosto del 1963 a Torre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Orsaia</w:t>
      </w:r>
      <w:proofErr w:type="spellEnd"/>
      <w:r>
        <w:rPr>
          <w:rFonts w:ascii="TimesNewRomanPSMT" w:hAnsi="TimesNewRomanPSMT" w:cs="TimesNewRomanPSMT"/>
          <w:sz w:val="20"/>
          <w:szCs w:val="20"/>
        </w:rPr>
        <w:t>, un piccolo centro della Provincia di Salerno, vive ed opera ad Agropoli, dividendosi tra due attività, artistica ed imprenditoriale. Il suo è un percorso artistico impegnato. Ha esposto in numerose gallerie d'Italia sia in mostre personali sia nell’ambito di eventi legati alla promozione di movimenti artistici contemporanei. Legato al mondo dell’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interior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design, ha una passione per la commistione di tecniche, materiali e colori. Il suo linguaggio cerca di indagare il mondo delle emozioni e dei sentimenti e gran parte del suo lavoro è legato alla riflessione sull’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impermanenza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nell’arte,sul significato della scultura e su come questa si metta in relazione con il contesto sociale contemporaneo.</w:t>
      </w:r>
    </w:p>
    <w:p w:rsidR="00177F2B" w:rsidRDefault="00177F2B" w:rsidP="00177F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Le sue opere sono il frutto della sperimentazione e del confronto tra svariati materiali; per le sue opere pittoriche utilizza essenzialmente tela e supporti rigidi come legno, multistrato, materie plastiche. I materiali primari che compongono i suoi lavori sono messi in rapporto con il concetto di rappresentazione e fungono da chiavi con infinite possibilità di lettura; allo stesso tempo, testimoniano la continua metamorfosi della materia, la cui instabilità è sinonimo di apertura a diverse interpretazioni.</w:t>
      </w:r>
    </w:p>
    <w:p w:rsidR="00177F2B" w:rsidRDefault="00177F2B" w:rsidP="00177F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L’approccio alla grammatica astratta e ai modi della pittura astratta informe (griglia, assi verticali-orizzontali, campiture, monocromie, cadute di colore) è metodologico non solo linguistico o strutturale. Al tempo stesso il processo formativo, generativo ed inventivo è sempre tenuto concettualmente sotto controllo, in modo che il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furor </w:t>
      </w:r>
      <w:proofErr w:type="spell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segnico</w:t>
      </w:r>
      <w:proofErr w:type="spellEnd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 xml:space="preserve">o l’enfasi materia non prenda il sopravvento sulla purezza linguistica e sulla leggibilità della grammatica formale. Le tecniche utilizzate sono del tutto personali,variano dall’utilizzo di vernici sintetiche al collage polimaterico con sabbia vernici industriali, all'uso di malte e paste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cementizie.Tutti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i materiali vengono assemblati e sostenuti ed inglobati in un unico disegno di base ma attraverso il colore crea delle forme astratte che si stendono nello spazio con la massima intensità e vibrazione.</w:t>
      </w:r>
    </w:p>
    <w:p w:rsidR="00177F2B" w:rsidRDefault="00177F2B" w:rsidP="00177F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La pratica pittorica associata a gesti e strumenti peculiari, la predilezione di metodi e di materie, al fine di soddisfare il desiderio di unicità e singolarità, di modernità oltre che di bellezza, di energie e di profondità, di espressività, elemento caratterizzante della ricerca dell’artista: dallo sgocciolamento, dalla pettinatura di strati di colore, monocroma assai denso, alla lenta stratificazione di pigmento, dalla stesura a pennello, alla tela macchiata di colori stesi, cancellati, ripassati.</w:t>
      </w:r>
    </w:p>
    <w:p w:rsidR="00177F2B" w:rsidRDefault="00177F2B" w:rsidP="00177F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Ciò che prevale è la ricerca, la scoperta e la continua sperimentazione di metodi operativi personalizzati attraverso i quali reinventare le forme dell’astrazione, per rimetterle in discussione, per ricrearle, perfino per ridefinirle, con minime ma sostanziali differenze riconducibili però ad un soggetto unico, ad una singolare speciale biografia.</w:t>
      </w:r>
    </w:p>
    <w:p w:rsidR="00177F2B" w:rsidRDefault="00177F2B" w:rsidP="00177F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Per le sue sculture, utilizza alluminio, acciaio e legno e già dai primi anni Novanta, adotta materiali riciclati, sviluppando un linguaggio personale teso alla rivisitazione del quotidiano e agli aspetti più intimi della memoria dove si sovrappongono simboli, icone, cultura pop, rappresentazione storica e coscienza politica.</w:t>
      </w:r>
    </w:p>
    <w:p w:rsidR="00673F43" w:rsidRDefault="00177F2B" w:rsidP="00177F2B">
      <w:r>
        <w:rPr>
          <w:rFonts w:ascii="TimesNewRomanPSMT" w:hAnsi="TimesNewRomanPSMT" w:cs="TimesNewRomanPSMT"/>
          <w:sz w:val="20"/>
          <w:szCs w:val="20"/>
        </w:rPr>
        <w:t>La sua opera appare come tra le attuali sintesi delle espressioni linguistiche maturate negli ultimi decenni e non conosce confini di genere spaziando proprio dal design alla scultura, dall’installazione alla performance. Tuttavia, nel suo lavoro viene evitata l’idea di monumento e ogni retorica insita nell’idea di tradizione e di classico</w:t>
      </w:r>
    </w:p>
    <w:sectPr w:rsidR="00673F43" w:rsidSect="00673F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177F2B"/>
    <w:rsid w:val="00177F2B"/>
    <w:rsid w:val="00673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7F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7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547</Words>
  <Characters>3123</Characters>
  <Application>Microsoft Office Word</Application>
  <DocSecurity>0</DocSecurity>
  <Lines>26</Lines>
  <Paragraphs>7</Paragraphs>
  <ScaleCrop>false</ScaleCrop>
  <Company/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2011-03-22T22:18:00Z</dcterms:created>
  <dcterms:modified xsi:type="dcterms:W3CDTF">2011-03-22T22:19:00Z</dcterms:modified>
</cp:coreProperties>
</file>