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8"/>
          <w:szCs w:val="28"/>
        </w:rPr>
        <w:t xml:space="preserve">Passaniti Samantha è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nata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il 30 Luglio 1981 a Monte Argentario (GR), si dedica inizialmente all'arte da autodidatta e  nel 2006 frequenta il corso di pittura della R.U.F.A. (Rome university of fine arts) di Roma.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8"/>
          <w:szCs w:val="28"/>
        </w:rPr>
        <w:t xml:space="preserve"> L'anno successivo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 xml:space="preserve">si </w:t>
      </w:r>
      <w:proofErr w:type="gramEnd"/>
      <w:r>
        <w:rPr>
          <w:rFonts w:ascii="Arial" w:hAnsi="Arial" w:cs="Arial"/>
          <w:color w:val="3E3E3E"/>
          <w:sz w:val="28"/>
          <w:szCs w:val="28"/>
        </w:rPr>
        <w:t>iscrive all’accademia di Belle arti di Roma, sezione pittura con il Prof. Costantino Baldino. Oltre alla pittura si avvicina alla grafica d'arte seguendo i corsi dell'incisore Fatih Mika e alla fotografia. Nel 2011 consegue il diploma accademico di primo livello con il massimo dei voti, con una tesi in estetica sul confronto tra linguaggio pittorico e</w:t>
      </w:r>
      <w:proofErr w:type="gramStart"/>
      <w:r>
        <w:rPr>
          <w:rFonts w:ascii="Arial" w:hAnsi="Arial" w:cs="Arial"/>
          <w:color w:val="3E3E3E"/>
          <w:sz w:val="28"/>
          <w:szCs w:val="28"/>
        </w:rPr>
        <w:t xml:space="preserve">  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linguaggio calligrafico. Nello stesso anno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 xml:space="preserve">si 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iscrive al biennio specialistico e vince una borsa di studio come assistente di laboratorio per le cattedre di pittura e disegno con i professori Pierluigi Berto e Costantino Baldino. A marzo 2013 si diploma al biennio sezione pittura, con il massimo dei voti, con una tesi progettuale inerente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il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rapporto tra poesia e pittura e una serie di lavori sul Libro dell'Inquietudine di Fernando Pessoa.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Attualmente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vive e lavora tra Roma e Monte Argentario.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8"/>
          <w:szCs w:val="28"/>
        </w:rPr>
        <w:t xml:space="preserve">Passaniti Samantha was born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on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July 30th 1981 in Monte Argentario (GR), at first she dedicated herself to the art as autodidact. In 2006 she attended a painting course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at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RUFA (Rome university of fine arts) in Rome.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8"/>
          <w:szCs w:val="28"/>
        </w:rPr>
        <w:t xml:space="preserve">After this exciting experience, the year after, she decided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to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devote herself entirely to art joining the Academy of Fine Arts in Rome - painting section under Prof. Constantino Baldino.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In addition to painting, she learned photography and graphic art attending the courses of the engraver Fatih Mika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In 2011 she got first level degree, working on a thesis about aesthetics on a comparison between pictorial and calligraphic language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. In the same year she started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at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two-year specialization and won a scholarship to become a laboratory assistant  in drawing and painting with Prof. Pierluigi Berto and Prof. Constantino Baldino. In March 2013 she ended her two-year specialization in Painting with a "magna cum laude" degree presenting a thesis about the relationship between poetry and painting and a series of artworks based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on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Fernando Pessoa's "The Book of Disquiet". Actually she lives and works in Rome </w:t>
      </w:r>
      <w:proofErr w:type="gramStart"/>
      <w:r>
        <w:rPr>
          <w:rFonts w:ascii="Arial" w:hAnsi="Arial" w:cs="Arial"/>
          <w:color w:val="3E3E3E"/>
          <w:sz w:val="28"/>
          <w:szCs w:val="28"/>
        </w:rPr>
        <w:t>and</w:t>
      </w:r>
      <w:proofErr w:type="gramEnd"/>
      <w:r>
        <w:rPr>
          <w:rFonts w:ascii="Arial" w:hAnsi="Arial" w:cs="Arial"/>
          <w:color w:val="3E3E3E"/>
          <w:sz w:val="28"/>
          <w:szCs w:val="28"/>
        </w:rPr>
        <w:t xml:space="preserve"> in Monte Argentario.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/>
        <w:jc w:val="center"/>
        <w:rPr>
          <w:rFonts w:ascii="Times" w:hAnsi="Times" w:cs="Times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120" w:lineRule="atLeast"/>
        <w:rPr>
          <w:rFonts w:ascii="Times" w:hAnsi="Times" w:cs="Times"/>
          <w:color w:val="3F3F3F"/>
          <w:sz w:val="78"/>
          <w:szCs w:val="78"/>
        </w:rPr>
      </w:pPr>
      <w:r>
        <w:rPr>
          <w:rFonts w:ascii="Times" w:hAnsi="Times" w:cs="Times"/>
          <w:color w:val="3F3F3F"/>
          <w:sz w:val="46"/>
          <w:szCs w:val="46"/>
        </w:rPr>
        <w:t>Mostre / Exhibition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6"/>
          <w:szCs w:val="26"/>
        </w:rPr>
        <w:t>2014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6"/>
          <w:szCs w:val="26"/>
        </w:rPr>
        <w:t xml:space="preserve">- Aprile 2014, mostra collettiva "vita Quieta", Natura Morta nel contemporaneo, a cura 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dell' </w:t>
      </w:r>
      <w:proofErr w:type="gramEnd"/>
      <w:r>
        <w:rPr>
          <w:rFonts w:ascii="Arial" w:hAnsi="Arial" w:cs="Arial"/>
          <w:color w:val="3E3E3E"/>
          <w:sz w:val="26"/>
          <w:szCs w:val="26"/>
        </w:rPr>
        <w:t>associazione culturale Clan, Galleria eventi, via Varese, Grosseto.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6"/>
          <w:szCs w:val="26"/>
        </w:rPr>
        <w:t xml:space="preserve">- Dal 28 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Dicembre</w:t>
      </w:r>
      <w:proofErr w:type="gramEnd"/>
      <w:r>
        <w:rPr>
          <w:rFonts w:ascii="Arial" w:hAnsi="Arial" w:cs="Arial"/>
          <w:color w:val="3E3E3E"/>
          <w:sz w:val="26"/>
          <w:szCs w:val="26"/>
        </w:rPr>
        <w:t xml:space="preserve"> 2013 al 17 Gennaio 2014 mostra collettiva presso il Cassero senese di Grosseto. Finalista del Progetto "FUORI" per la valorizzazione 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degli</w:t>
      </w:r>
      <w:proofErr w:type="gramEnd"/>
      <w:r>
        <w:rPr>
          <w:rFonts w:ascii="Arial" w:hAnsi="Arial" w:cs="Arial"/>
          <w:color w:val="3E3E3E"/>
          <w:sz w:val="26"/>
          <w:szCs w:val="26"/>
        </w:rPr>
        <w:t> 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  <w:proofErr w:type="gramStart"/>
      <w:r>
        <w:rPr>
          <w:rFonts w:ascii="Arial" w:hAnsi="Arial" w:cs="Arial"/>
          <w:color w:val="3E3E3E"/>
          <w:sz w:val="26"/>
          <w:szCs w:val="26"/>
        </w:rPr>
        <w:t>artisti</w:t>
      </w:r>
      <w:proofErr w:type="gramEnd"/>
      <w:r>
        <w:rPr>
          <w:rFonts w:ascii="Arial" w:hAnsi="Arial" w:cs="Arial"/>
          <w:color w:val="3E3E3E"/>
          <w:sz w:val="26"/>
          <w:szCs w:val="26"/>
        </w:rPr>
        <w:t xml:space="preserve"> della provincia di Grosseto. Fondazione Grosseto Cultura. CEDAV. Comune di Grosseto.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6"/>
          <w:szCs w:val="26"/>
        </w:rPr>
        <w:t>2013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6"/>
          <w:szCs w:val="26"/>
        </w:rPr>
        <w:t>- Mostra personale di pittura "La Scrittura dell'Anima",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presso Officina/spazio creativo CLAN Via Sicilia, 25 Grosseto.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  <w:r>
        <w:rPr>
          <w:rFonts w:ascii="Arial" w:hAnsi="Arial" w:cs="Arial"/>
          <w:color w:val="3E3E3E"/>
          <w:sz w:val="26"/>
          <w:szCs w:val="26"/>
        </w:rPr>
        <w:t xml:space="preserve">- Mostra collettiva "Self-portraits" Galleria d'arte Spazio 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23</w:t>
      </w:r>
      <w:proofErr w:type="gramEnd"/>
      <w:r>
        <w:rPr>
          <w:rFonts w:ascii="Arial" w:hAnsi="Arial" w:cs="Arial"/>
          <w:color w:val="3E3E3E"/>
          <w:sz w:val="26"/>
          <w:szCs w:val="26"/>
        </w:rPr>
        <w:t> Via Alberto Ferrero 23 Roma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8"/>
          <w:szCs w:val="28"/>
        </w:rPr>
      </w:pPr>
      <w:proofErr w:type="gramStart"/>
      <w:r>
        <w:rPr>
          <w:rFonts w:ascii="Arial" w:hAnsi="Arial" w:cs="Arial"/>
          <w:color w:val="3E3E3E"/>
          <w:sz w:val="28"/>
          <w:szCs w:val="28"/>
        </w:rPr>
        <w:t xml:space="preserve">- </w:t>
      </w:r>
      <w:r>
        <w:rPr>
          <w:rFonts w:ascii="Arial" w:hAnsi="Arial" w:cs="Arial"/>
          <w:i/>
          <w:iCs/>
          <w:color w:val="3E3E3E"/>
          <w:sz w:val="26"/>
          <w:szCs w:val="26"/>
        </w:rPr>
        <w:t>“L'invisibile nel visibile</w:t>
      </w:r>
      <w:proofErr w:type="gramEnd"/>
      <w:r>
        <w:rPr>
          <w:rFonts w:ascii="Arial" w:hAnsi="Arial" w:cs="Arial"/>
          <w:i/>
          <w:iCs/>
          <w:color w:val="3E3E3E"/>
          <w:sz w:val="26"/>
          <w:szCs w:val="26"/>
        </w:rPr>
        <w:t>. Mostra di arte sacra contemporanea” </w:t>
      </w:r>
      <w:r>
        <w:rPr>
          <w:rFonts w:ascii="Arial" w:hAnsi="Arial" w:cs="Arial"/>
          <w:color w:val="3E3E3E"/>
          <w:sz w:val="26"/>
          <w:szCs w:val="26"/>
        </w:rPr>
        <w:t>Santa Maria Portae Paradisi, Accademia di Belle Arti, Roma, Sala della Protomoteca, Campidoglio,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     </w:t>
      </w:r>
      <w:proofErr w:type="gramEnd"/>
      <w:r>
        <w:rPr>
          <w:rFonts w:ascii="Arial" w:hAnsi="Arial" w:cs="Arial"/>
          <w:color w:val="3E3E3E"/>
          <w:sz w:val="26"/>
          <w:szCs w:val="26"/>
        </w:rPr>
        <w:t>Roma, in occasione del X simposio internazionale dei docenti universitari.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-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Mostra collettiva di pittura “Stati d’animo italiani” Varsavia, Palazzo Radziejowice organizzata dall’istituto di cultura italiano a Varsavia-- 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- Mostra personale "Devono esserci isole a sud delle cose" a cura di Eleonora Santonocito, Evasioni Art Studio, via dei Delfini 23, Roma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- Mostra collettiva "Oltre il Buio" in occasione dell'esposizione dei disegni 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di</w:t>
      </w:r>
      <w:proofErr w:type="gramEnd"/>
      <w:r>
        <w:rPr>
          <w:rFonts w:ascii="Arial" w:hAnsi="Arial" w:cs="Arial"/>
          <w:color w:val="3E3E3E"/>
          <w:sz w:val="26"/>
          <w:szCs w:val="26"/>
        </w:rPr>
        <w:t xml:space="preserve"> Carlo Levi Casa della Storia e della Memoria Via Francesco di Sales Roma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b/>
          <w:bCs/>
          <w:color w:val="3E3E3E"/>
          <w:sz w:val="26"/>
          <w:szCs w:val="26"/>
        </w:rPr>
        <w:t>2012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Collettiva arte contemporanea Atelier Montez, via di Pietralata 147 A Roma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 xml:space="preserve">– Mostra personale 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di </w:t>
      </w:r>
      <w:proofErr w:type="gramEnd"/>
      <w:r>
        <w:rPr>
          <w:rFonts w:ascii="Arial" w:hAnsi="Arial" w:cs="Arial"/>
          <w:color w:val="3E3E3E"/>
          <w:sz w:val="26"/>
          <w:szCs w:val="26"/>
        </w:rPr>
        <w:t>incisioni e pittura, circolo nautico Aics, Talamone (GR)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proofErr w:type="gramStart"/>
      <w:r>
        <w:rPr>
          <w:rFonts w:ascii="Arial" w:hAnsi="Arial" w:cs="Arial"/>
          <w:color w:val="3E3E3E"/>
          <w:sz w:val="26"/>
          <w:szCs w:val="26"/>
        </w:rPr>
        <w:t>– Mostra collettiva, "s'Offrire" Chiesa di Santa Maria Portae Paradisi via di Ripetta, Roma</w:t>
      </w:r>
      <w:proofErr w:type="gramEnd"/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 xml:space="preserve">– "Stili a confronto nel terzo millennio" mostra collettiva di pittura, patrocinio dell'assessorato alle Politiche Culturali della città 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di</w:t>
      </w:r>
      <w:proofErr w:type="gramEnd"/>
      <w:r>
        <w:rPr>
          <w:rFonts w:ascii="Arial" w:hAnsi="Arial" w:cs="Arial"/>
          <w:color w:val="3E3E3E"/>
          <w:sz w:val="26"/>
          <w:szCs w:val="26"/>
        </w:rPr>
        <w:t xml:space="preserve"> Roma Centro Culturale Tiberino Lungotevere Testaccio Roma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b/>
          <w:bCs/>
          <w:color w:val="3E3E3E"/>
          <w:sz w:val="26"/>
          <w:szCs w:val="26"/>
        </w:rPr>
        <w:t>2011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 xml:space="preserve">– Mostra 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di </w:t>
      </w:r>
      <w:proofErr w:type="gramEnd"/>
      <w:r>
        <w:rPr>
          <w:rFonts w:ascii="Arial" w:hAnsi="Arial" w:cs="Arial"/>
          <w:color w:val="3E3E3E"/>
          <w:sz w:val="26"/>
          <w:szCs w:val="26"/>
        </w:rPr>
        <w:t>incisione  patrocinio del comune di Pitigliano ex granai di Palazzo Orsini, Pitigliano (GR)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proofErr w:type="gramStart"/>
      <w:r>
        <w:rPr>
          <w:rFonts w:ascii="Arial" w:hAnsi="Arial" w:cs="Arial"/>
          <w:color w:val="3E3E3E"/>
          <w:sz w:val="26"/>
          <w:szCs w:val="26"/>
        </w:rPr>
        <w:t>– Mostra personale di pittura comune di Capalbio (GR) Palazzo Collacchioni (Sala Rosa)</w:t>
      </w:r>
      <w:proofErr w:type="gramEnd"/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proofErr w:type="gramStart"/>
      <w:r>
        <w:rPr>
          <w:rFonts w:ascii="Arial" w:hAnsi="Arial" w:cs="Arial"/>
          <w:color w:val="3E3E3E"/>
          <w:sz w:val="26"/>
          <w:szCs w:val="26"/>
        </w:rPr>
        <w:t>– Mostra collettiva, Ars et Pax Chiesa di Santa Maria Portae Paradisi via di Ripetta, Roma</w:t>
      </w:r>
      <w:proofErr w:type="gramEnd"/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Izmir (Turchia) mostra di incisione "Rome Engraving" Guzelyali cultural center art gallery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proofErr w:type="gramStart"/>
      <w:r>
        <w:rPr>
          <w:rFonts w:ascii="Arial" w:hAnsi="Arial" w:cs="Arial"/>
          <w:color w:val="3E3E3E"/>
          <w:sz w:val="26"/>
          <w:szCs w:val="26"/>
        </w:rPr>
        <w:t>– Artexpò Arezzo nello spazio fieristico "Arezzo Fiere e Congressi" fiera d'arte antica, moderna e contemporanea mostra collettiva nel padig</w:t>
      </w:r>
      <w:proofErr w:type="gramEnd"/>
      <w:r>
        <w:rPr>
          <w:rFonts w:ascii="Arial" w:hAnsi="Arial" w:cs="Arial"/>
          <w:color w:val="3E3E3E"/>
          <w:sz w:val="26"/>
          <w:szCs w:val="26"/>
        </w:rPr>
        <w:t>lione Accademie Belle Arti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b/>
          <w:bCs/>
          <w:color w:val="3E3E3E"/>
          <w:sz w:val="26"/>
          <w:szCs w:val="26"/>
        </w:rPr>
        <w:t>2010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Livorno Museo di Storia Naturale del Mediterraneo mostra collettiva "Lavoro è Donna", premio Arte Donna a cura della Provincia di Livorno, della Commissione Pari Opportunità e della Fondazione Cassa di Risparmio di Firenze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 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Istanbul (Turchia) Tüyap - 20° fiera d’arte di istanbul Mostra collettiva di incisione 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proofErr w:type="gramStart"/>
      <w:r>
        <w:rPr>
          <w:rFonts w:ascii="Arial" w:hAnsi="Arial" w:cs="Arial"/>
          <w:color w:val="3E3E3E"/>
          <w:sz w:val="26"/>
          <w:szCs w:val="26"/>
        </w:rPr>
        <w:t>– </w:t>
      </w:r>
      <w:r>
        <w:rPr>
          <w:rFonts w:ascii="Arial" w:hAnsi="Arial" w:cs="Arial"/>
          <w:color w:val="555555"/>
          <w:sz w:val="26"/>
          <w:szCs w:val="26"/>
        </w:rPr>
        <w:t>Artexpò Pontecorvo (FR) </w:t>
      </w:r>
      <w:r>
        <w:rPr>
          <w:rFonts w:ascii="Arial" w:hAnsi="Arial" w:cs="Arial"/>
          <w:color w:val="3E3E3E"/>
          <w:sz w:val="26"/>
          <w:szCs w:val="26"/>
        </w:rPr>
        <w:t>fiera della cultura Comune di Pontecorvo, Università degli studi di Cassino Banca Popolare del Cassinate</w:t>
      </w:r>
      <w:proofErr w:type="gramEnd"/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 Accademia di Belle Arti di Napoli MIUR (Ministero Istruzione, Università e Ricerca) Finalista del Premio Nazionale delle Arti,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Esposizione sezione arti visive (pittura) Ministro Mariastella Gelmini, Giuseppe Furlanis, Sergio Sciarelli,  Giovanna Cassese, Maria Cristina Antonini.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 Izmir (Turchia)   Yaşar Üniversitesi, Selçuk Yaşar Kampüsü Fuaye Alanı,  Mostra collettiva di incisione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 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Foggia, Club degli artisti patrocinio Regione Puglia e Provincia di Torino premio città di Roma  per la sezione pittura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Eskişehir (Turchia)   Anadolu Üniversitesi Mostra collettiva di incisione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 xml:space="preserve"> 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Istanbul (Turchia) tüyap - 19° fiera d’arte di istanbul Mostra collettiva di incisione 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b/>
          <w:bCs/>
          <w:color w:val="3E3E3E"/>
          <w:sz w:val="26"/>
          <w:szCs w:val="26"/>
        </w:rPr>
        <w:t>2009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  <w:r>
        <w:rPr>
          <w:rFonts w:ascii="Arial" w:hAnsi="Arial" w:cs="Arial"/>
          <w:color w:val="3E3E3E"/>
          <w:sz w:val="26"/>
          <w:szCs w:val="26"/>
        </w:rPr>
        <w:t>–</w:t>
      </w:r>
      <w:proofErr w:type="gramStart"/>
      <w:r>
        <w:rPr>
          <w:rFonts w:ascii="Arial" w:hAnsi="Arial" w:cs="Arial"/>
          <w:color w:val="3E3E3E"/>
          <w:sz w:val="26"/>
          <w:szCs w:val="26"/>
        </w:rPr>
        <w:t>  </w:t>
      </w:r>
      <w:proofErr w:type="gramEnd"/>
      <w:r>
        <w:rPr>
          <w:rFonts w:ascii="Arial" w:hAnsi="Arial" w:cs="Arial"/>
          <w:color w:val="3E3E3E"/>
          <w:sz w:val="26"/>
          <w:szCs w:val="26"/>
        </w:rPr>
        <w:t>Museo Formello - Assessorato alla cultura  Centro per l'incisione e la grafica d'arte Mostra collettiva di incisione: “L’acquatinta”    </w:t>
      </w: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Arial" w:hAnsi="Arial" w:cs="Arial"/>
          <w:color w:val="3E3E3E"/>
          <w:sz w:val="28"/>
          <w:szCs w:val="28"/>
        </w:rPr>
      </w:pPr>
    </w:p>
    <w:p w:rsidR="007D6E99" w:rsidRDefault="007D6E99" w:rsidP="007D6E99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color w:val="3E3E3E"/>
          <w:sz w:val="26"/>
          <w:szCs w:val="26"/>
        </w:rPr>
      </w:pPr>
    </w:p>
    <w:p w:rsidR="00840E65" w:rsidRDefault="00840E65" w:rsidP="00840E65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" w:hAnsi="Times" w:cs="Times"/>
          <w:color w:val="3E3E3E"/>
          <w:sz w:val="26"/>
          <w:szCs w:val="26"/>
        </w:rPr>
      </w:pPr>
    </w:p>
    <w:p w:rsidR="00840E65" w:rsidRDefault="00840E65" w:rsidP="00840E65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" w:hAnsi="Times" w:cs="Times"/>
          <w:color w:val="3E3E3E"/>
          <w:sz w:val="26"/>
          <w:szCs w:val="26"/>
        </w:rPr>
      </w:pPr>
    </w:p>
    <w:p w:rsidR="00936BA9" w:rsidRDefault="007D6E99"/>
    <w:sectPr w:rsidR="00936BA9" w:rsidSect="000103F4">
      <w:pgSz w:w="12240" w:h="15840"/>
      <w:pgMar w:top="1417" w:right="1134" w:bottom="1134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C15F0"/>
    <w:rsid w:val="003A2E8B"/>
    <w:rsid w:val="007D6E99"/>
    <w:rsid w:val="00840E65"/>
    <w:rsid w:val="00CE2066"/>
    <w:rsid w:val="00FC15F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BA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851</Words>
  <Characters>4851</Characters>
  <Application>Microsoft Word 12.0.0</Application>
  <DocSecurity>0</DocSecurity>
  <Lines>40</Lines>
  <Paragraphs>9</Paragraphs>
  <ScaleCrop>false</ScaleCrop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bbbb</dc:creator>
  <cp:keywords/>
  <cp:lastModifiedBy>aaa bbbb</cp:lastModifiedBy>
  <cp:revision>3</cp:revision>
  <dcterms:created xsi:type="dcterms:W3CDTF">2013-03-27T17:26:00Z</dcterms:created>
  <dcterms:modified xsi:type="dcterms:W3CDTF">2014-07-18T22:33:00Z</dcterms:modified>
</cp:coreProperties>
</file>